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Hlk115185834"/>
      <w:r>
        <w:rPr>
          <w:rFonts w:ascii="Times New Roman" w:hAnsi="Times New Roman" w:eastAsia="方正小标宋简体" w:cs="Times New Roman"/>
          <w:sz w:val="44"/>
          <w:szCs w:val="44"/>
        </w:rPr>
        <w:t>2022年“领航杯”江苏省信息化教学优质课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大赛</w:t>
      </w:r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评比指标</w:t>
      </w:r>
    </w:p>
    <w:tbl>
      <w:tblPr>
        <w:tblStyle w:val="2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94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指标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内    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设计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教学目标符合新课程标准，明确完整，可操作、可检测，体现以学生发展为中心。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教学设计要素完整，结构严谨，重难点突出，活动恰当，技术应用优势凸显。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过程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在教学中突出学生的主体地位，体现新媒体环境下学与教方式的转变。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采取多种策略组织教学，教学环节合理、自然、流畅。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教学中重视学生已有的经验，符合幼儿和中小学生的认知特点和规律。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应用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能将新媒体新技术作为学生学习和认知的工具。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有效解决教学重难点问题，促进师生、生生深层次互动，共享课堂。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巧妙运用技术手段和工具，引导学生开展多种形式的学习。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科学合理安排电子产品使用时长。 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素养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教态亲切、自然，语言准确、清晰、生动，书写规范，教学设备操作娴熟。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专业知识扎实，准确把握学科特点实施教学。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效果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完成教学目标，师生信息素养得到提升，不同层次的学生获得发展。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课堂教学氛围和谐、民主、向上，学生的情感、行动和思维参与积极、活跃。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特色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创新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个性化教学平台操作方便，效率高，可复制性强。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ZDMyNmY2YTk2ZDQ4ZTdiZWJiYWVmOWMwMWVmZjkifQ=="/>
  </w:docVars>
  <w:rsids>
    <w:rsidRoot w:val="4C187742"/>
    <w:rsid w:val="4C1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2022-09-29T09:32:00Z</dcterms:created>
  <dc:creator>宋东亚</dc:creator>
  <cp:lastModifiedBy>宋东亚</cp:lastModifiedBy>
  <dcterms:modified xsi:type="dcterms:W3CDTF">2022-09-29T09:33:19Z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08D76FE5EF284E2394608E56EC2903CE</vt:lpwstr>
  </property>
</Properties>
</file>